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厦门市科学技术局所属事业单位厦门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华侨亚热带植物引园</w:t>
      </w:r>
      <w:r>
        <w:rPr>
          <w:rFonts w:hint="eastAsia" w:ascii="仿宋" w:hAnsi="仿宋" w:eastAsia="仿宋"/>
          <w:b/>
          <w:bCs/>
          <w:sz w:val="32"/>
          <w:szCs w:val="32"/>
        </w:rPr>
        <w:t>补充非在编工作人员报名表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349D5B08"/>
    <w:rsid w:val="5BD9C7F6"/>
    <w:rsid w:val="FDB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2021-03-26T17:23:00Z</dcterms:created>
  <dc:creator>叶沐霏</dc:creator>
  <cp:lastModifiedBy>xmadmin</cp:lastModifiedBy>
  <dcterms:modified xsi:type="dcterms:W3CDTF">2021-04-06T13:59:45Z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2293BBE8402A4F53952DF6930F66F9DF</vt:lpwstr>
  </property>
</Properties>
</file>